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209</w:t>
      </w:r>
    </w:p>
    <w:p>
      <w:r>
        <w:t>Bundesgericht (BGE), 2002-03-20, DE</w:t>
      </w:r>
    </w:p>
    <w:p>
      <w:r>
        <w:rPr>
          <w:b/>
        </w:rPr>
        <w:t xml:space="preserve">Quelle: </w:t>
      </w:r>
      <w:r>
        <w:t>https://mcp.opencaselaw.ch/entscheid/bge_128 III 209</w:t>
      </w:r>
    </w:p>
    <w:p>
      <w:r>
        <w:t>FR: ATF 128 III 209</w:t>
      </w:r>
    </w:p>
    <w:p>
      <w:r>
        <w:t>IT: DTF 128 III 209</w:t>
      </w:r>
    </w:p>
    <w:p>
      <w:pPr>
        <w:pStyle w:val="Heading2"/>
      </w:pPr>
      <w:r>
        <w:t>Regeste</w:t>
      </w:r>
    </w:p>
    <w:p>
      <w:r>
        <w:t>Regeste Abberufung von Stiftungsratsmitgliedern durch den Stiftungsrat (Art. 84 Abs. 2 ZGB). Der Stifterwille, wonach bestimmte Personen zwingend dem Stiftungsrat anzugehören haben, vermag eine sachlich begründete Abberufung dieser Personen durch den Stiftungsrat nicht zu verhindern; offen gelassen, ob im vorliegenden Fall überhaupt ein zwingender Stifterwille besteht (E. 4a). Auf die Abberufung von Stiftungsratsmitgliedern ist Art. 68 ZGB analog anwendbar. Die abzuberufenden Stiftungsratsmitglieder sind an der Beratung und der Abstimmung über ihre Abberufung nicht zu beteiligen, haben jedoch Anspruch auf rechtliches Gehör (E. 4c).</w:t>
      </w:r>
    </w:p>
    <w:p>
      <w:pPr>
        <w:pStyle w:val="Heading2"/>
      </w:pPr>
      <w:r>
        <w:t>Erwägungen</w:t>
      </w:r>
    </w:p>
    <w:p>
      <w:r>
        <w:rPr>
          <w:b/>
        </w:rPr>
        <w:t>E. 4</w:t>
      </w:r>
    </w:p>
    <w:p>
      <w:r>
        <w:t>Strittig ist im vorliegenden Fall zunächst die Frage, ob die Beschwerdeführer mit Zirkularbeschluss vom 8. November 2001 rechtsgültig abgesetzt wurden, bzw. ob die diesbezüglichen - bestätigenden bzw. sinngemäss zustimmenden - Kenntnisnahmen und Feststellungen des EDI vom 21. Dezember 2001 (Dispositiv-Ziff. 1 und 2) rechtsbeständig sind. a) In diesem Zusammenhang verweisen die Beschwerdeführer auf Art. 5 der Stiftungsurkunde, wonach dem Stiftungsrat mindestens ein Mitglied ihrer Familie angehören sollte, und halten gestützt auf diesen Wortlaut dafür, ihre Absetzung verstosse gegen den Stifterwillen und sei daher rechtswidrig. Die Beschwerdeführer scheinen davon auszugehen, sie hätten beide zwingend dem Stiftungsrat anzugehören. Der Formulierung von Art. 5 der Stiftungsurkunde lässt sich indes zum einen nur entnehmen, dass mindestens ein Mitglied der Familie der Beschwerdeführer BGE 128 III 209 S. 211 im Stiftungsrat Einsitz nehmen "sollte". Zum andern ist fraglich, ob aus dem Wortlaut ("sollte") der besagten Satzung geschlossen werden darf, dass nach dem Willen des Stifters auch tatsächlich mindestens ein Mitlied der Familie im Stiftungsrat Aufnahme finden muss. Wie es sich damit verhält kann hier indes offen bleiben. Auch wenn die besagte Satzung im Sinne der Beschwerdeführer als zwingender Ausdruck des Stifterwillens zu verstehen wäre, vermöchte sie eine sachlich begründete Abwahl beider Eheleute nicht zu verhindern (vgl. RIEMER, Berner Kommentar, N. 101 zu Art. 84 ZGB ). c) Des Weiteren beanstanden die Beschwerdeführer in diesem Zusammenhang, sie seien mit Zirkularbeschluss abgesetzt worden, obwohl sich der Beschwerdeführer nicht daran beteiligt habe, was aber - in analoger Anwendung von Art. 713 Abs. 2 OR - Voraussetzung eines derartigen Beschlusses gewesen wäre. Von vornherein fehl geht der Hinweis auf eine analoge Anwendung von Art. 713 Abs. 2 OR . Da die Stiftungsurkunde nichts anderes bestimmt, ist auf den vorliegenden Fall vielmehr Art. 68 ZGB analog anzuwenden (zur grundsätzlichen Frage der analogen Anwendbarkeit von Vereinsrecht in diesem Zusammenhang auch BGE 112 II 97 E. 4, 471 E. 2 S. 471/472; Urteil 5A.23/1999 vom 27. März 2000, E. 2b; vgl. ferner RIEMER, Berner Kommentar, N. 32 zu Art. 83 ZGB ; derselbe, Berner Kommentar, N. 136 f. des Syst. Teils vor Art. 60-79 ZGB ). Danach waren die Beschwerdeführer an der Beratung und Abstimmung über ihre Abwahl gar nicht zu beteiligen (vgl. RIEMER, Berner Kommentar, N. 18 zu Art. 68 ZGB i.V.m. N. 53 zu Art. 69 ZGB ), weshalb es auch nicht entscheidend darauf ankam, ob sie mit der Abstimmung auf dem Wege des Zirkularbeschlusses einverstanden waren. Zu berücksichtigen galt es dabei einzig das rechtliche Gehör der Abzuberufenden (vgl. RIEMER, Berner Kommentar, N. 18 zu Art. 68 ZGB ), welchem Erfordernis aber durch die - an sich nicht zulässige - Aufforderung zur Beteiligung an der Abstimmung Genüge getan wurde; die Beschwerdeführerin hat sich Gehör verschafft, indem sie an der Zirkularabstimmung betreffend ihre Abwahl teilnahm, während sich der Beschwerdeführer anderweitig hat vernehmen lassen. Eine Verletzung von Bundesrecht ist demnach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